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8E2" w:rsidRPr="003718E2" w:rsidRDefault="003718E2" w:rsidP="003718E2">
      <w:pPr>
        <w:rPr>
          <w:b/>
          <w:bCs/>
          <w:sz w:val="40"/>
          <w:szCs w:val="40"/>
        </w:rPr>
      </w:pPr>
      <w:r w:rsidRPr="003718E2">
        <w:rPr>
          <w:b/>
          <w:bCs/>
          <w:sz w:val="40"/>
          <w:szCs w:val="40"/>
        </w:rPr>
        <w:t>Bruselas lanza una ofensiva en hidrógeno para 2025: nueva subasta de 1.000M y un 'Tinder' para conectar oferta y demanda</w:t>
      </w:r>
    </w:p>
    <w:p w:rsidR="003718E2" w:rsidRDefault="003718E2" w:rsidP="003718E2"/>
    <w:p w:rsidR="003718E2" w:rsidRDefault="003718E2" w:rsidP="003718E2">
      <w:r>
        <w:t xml:space="preserve">Bruselas lanza una ofensiva de hidrógeno limpio para 2025. Enmarcada en el </w:t>
      </w:r>
      <w:proofErr w:type="spellStart"/>
      <w:r>
        <w:t>Clean</w:t>
      </w:r>
      <w:proofErr w:type="spellEnd"/>
      <w:r>
        <w:t xml:space="preserve"> Industrial Deal, presentado este miércoles, esta estrategia tiene como objetivo "reducir el riesgo y acelerar la adopción de la producción de hidrógeno en la Unión Europea (UE)".</w:t>
      </w:r>
    </w:p>
    <w:p w:rsidR="003718E2" w:rsidRDefault="003718E2" w:rsidP="003718E2">
      <w:r>
        <w:t xml:space="preserve">En concreto, la Comisión Europea ha fijado para este año la tercera subasta del Banco Europeo del Hidrógeno; la puesta en marcha de una plataforma al estilo Tinder, que conectará a productores y consumidores; y la publicación del próximo acto delegado, que esclarecerá las bases y las reglas para el desarrollo del sector. "La Comisión lanzará una tercera convocatoria bajo el Banco de Hidrógeno en el tercer trimestre de 2025 con un presupuesto de hasta 1.000 millones de euros", se puede leer en el documento presentado por la Comisión de </w:t>
      </w:r>
      <w:proofErr w:type="spellStart"/>
      <w:r>
        <w:t>Ursula</w:t>
      </w:r>
      <w:proofErr w:type="spellEnd"/>
      <w:r>
        <w:t xml:space="preserve"> </w:t>
      </w:r>
      <w:proofErr w:type="spellStart"/>
      <w:r>
        <w:t>von</w:t>
      </w:r>
      <w:proofErr w:type="spellEnd"/>
      <w:r>
        <w:t xml:space="preserve"> </w:t>
      </w:r>
      <w:proofErr w:type="spellStart"/>
      <w:r>
        <w:t>der</w:t>
      </w:r>
      <w:proofErr w:type="spellEnd"/>
      <w:r>
        <w:t xml:space="preserve"> </w:t>
      </w:r>
      <w:proofErr w:type="spellStart"/>
      <w:r>
        <w:t>Leyen</w:t>
      </w:r>
      <w:proofErr w:type="spellEnd"/>
      <w:r>
        <w:t>. Servimedia El anuncio se produce sólo seis días después de que se cerrase la segunda subasta, lanzada el pasado mes de diciembre, con una dotación de 1.200 millones de euros. Una licitación que aumentó el presupuesto de la primera, que tuvo lugar en noviembre de 2023 y en la que tres de los siete proyectos seleccionados fueron españoles.</w:t>
      </w:r>
    </w:p>
    <w:p w:rsidR="003718E2" w:rsidRDefault="003718E2" w:rsidP="003718E2">
      <w:r>
        <w:t>Adicionalmente, Bruselas "instará a los Estados miembros a utilizar la plataforma de subastas como servicio, proporcionada por la Comisión, facilitando, por ejemplo, el uso de fondos europeos no utilizados", se añade en el </w:t>
      </w:r>
      <w:proofErr w:type="spellStart"/>
      <w:r>
        <w:t>Clean</w:t>
      </w:r>
      <w:proofErr w:type="spellEnd"/>
      <w:r>
        <w:t xml:space="preserve"> Industrial Deal.</w:t>
      </w:r>
    </w:p>
    <w:p w:rsidR="003718E2" w:rsidRDefault="003718E2" w:rsidP="003718E2">
      <w:r>
        <w:t>"Es esencial contar con un marco regulatorio claro", alerta también la Comisión, que asegura que "adoptará en el primer trimestre de 2025 el acto delegado sobre el hidrógeno de bajo carbono".</w:t>
      </w:r>
    </w:p>
    <w:p w:rsidR="003718E2" w:rsidRDefault="003718E2" w:rsidP="003718E2">
      <w:r>
        <w:t>El propósito de esta disposición es establecer "reglas claras y prácticas sobre cómo debe producirse este hidrógeno de manera sostenible y competitiva". De esta forma, "se pretende sentar las bases para una producción eficiente y escalable de hidrógeno limpio, fomentando la inversión y reduciendo riesgos".</w:t>
      </w:r>
    </w:p>
    <w:p w:rsidR="003718E2" w:rsidRDefault="003718E2" w:rsidP="003718E2">
      <w:r>
        <w:t>Tinder</w:t>
      </w:r>
    </w:p>
    <w:p w:rsidR="003718E2" w:rsidRDefault="003718E2" w:rsidP="003718E2">
      <w:r>
        <w:t xml:space="preserve">Otro de los puntos clave de esta ofensiva es "el lanzamiento del Mecanismo de Hidrógeno bajo el Banco Europeo de Hidrógeno en el segundo trimestre de 2025". Una plataforma de conexión tipo Tinder, que "movilizará y conectará a compradores y proveedores". La Comisión Europea ya empezó a trabajar en junio de 2024 con un mecanismo piloto para impulsar el mercado del hidrógeno. Este sistema recopila, procesa y da acceso a información sobre la demanda y la oferta de hidrógeno renovable y de bajas emisiones de carbono y sus derivados, lo que permitirá a los compradores europeos ponerse en contacto con proveedores europeos y extranjeros. </w:t>
      </w:r>
      <w:proofErr w:type="spellStart"/>
      <w:r>
        <w:t>Invertia</w:t>
      </w:r>
      <w:proofErr w:type="spellEnd"/>
      <w:r>
        <w:t xml:space="preserve"> El nuevo mecanismo vinculará "a los participantes con instrumentos de financiación y reducción de riesgos para facilitar la agregación de la demanda de hidrógeno y combustibles derivados del hidrógeno en sectores industriales difíciles de descarbonizar y en el transporte, como en los sectores marítimo y aeronáutico", recoge el </w:t>
      </w:r>
      <w:proofErr w:type="spellStart"/>
      <w:r>
        <w:t>Clean</w:t>
      </w:r>
      <w:proofErr w:type="spellEnd"/>
      <w:r>
        <w:t xml:space="preserve"> Industrial Deal.</w:t>
      </w:r>
    </w:p>
    <w:p w:rsidR="003718E2" w:rsidRDefault="003718E2" w:rsidP="003718E2">
      <w:r>
        <w:lastRenderedPageBreak/>
        <w:t>Para el último trimestre de 2025, la Comisión planea implementar la Ley de Aceleración de la Descarbonización Industrial, que se centrará en establecer una etiqueta para productos de bajo carbono, y aplicará requisitos estrictos de sostenibilidad, resiliencia y contenido mínimo de la UE en las adquisiciones públicas y privadas dentro de sectores estratégicos. Con ello, se busca consolidar los mercados de productos bajos en carbono y estimular su adopción, especialmente en industrias que son cruciales para la transición energética.</w:t>
      </w:r>
    </w:p>
    <w:p w:rsidR="003718E2" w:rsidRDefault="003718E2" w:rsidP="003718E2">
      <w:r>
        <w:t>Además, en los años siguientes, la Comisión Europea tiene previsto lanzar varias iniciativas complementarias. Una de ellas es la propuesta legislativa para "ecologizar" las flotas corporativas, prevista para 2025/2026, y la revisión de las Directivas de Contratación Pública para garantizar que se utilicen criterios más allá del precio, lo que potenciaría aún más la sostenibilidad en las compras públicas.</w:t>
      </w:r>
    </w:p>
    <w:p w:rsidR="003718E2" w:rsidRDefault="003718E2" w:rsidP="003718E2">
      <w:r>
        <w:t xml:space="preserve">Finalmente, la Comisión también establece objetivos clave en su plan: uno de ellos es alcanzar el 40% de los componentes clave de productos de tecnología limpia producidos dentro de la UE, y otro es reducir las vulnerabilidades externas para los productos del </w:t>
      </w:r>
      <w:proofErr w:type="spellStart"/>
      <w:r>
        <w:t>Clean</w:t>
      </w:r>
      <w:proofErr w:type="spellEnd"/>
      <w:r>
        <w:t xml:space="preserve"> Industrial Deal, según lo medido por el Índice de Vulnerabilidad Externa (EXVI). SHYNE</w:t>
      </w:r>
    </w:p>
    <w:p w:rsidR="003718E2" w:rsidRDefault="003718E2" w:rsidP="003718E2">
      <w:r>
        <w:t>La presentación del </w:t>
      </w:r>
      <w:proofErr w:type="spellStart"/>
      <w:r>
        <w:t>Clean</w:t>
      </w:r>
      <w:proofErr w:type="spellEnd"/>
      <w:r>
        <w:t xml:space="preserve"> Industrial Deal coincidió con la presentación formal en España de la asociación SHYNE (</w:t>
      </w:r>
      <w:proofErr w:type="spellStart"/>
      <w:r>
        <w:t>Spanish</w:t>
      </w:r>
      <w:proofErr w:type="spellEnd"/>
      <w:r>
        <w:t xml:space="preserve"> </w:t>
      </w:r>
      <w:proofErr w:type="spellStart"/>
      <w:r>
        <w:t>Hydrogen</w:t>
      </w:r>
      <w:proofErr w:type="spellEnd"/>
      <w:r>
        <w:t xml:space="preserve"> Network), que conforman empresas como Repsol, Enagás, </w:t>
      </w:r>
      <w:proofErr w:type="spellStart"/>
      <w:r>
        <w:t>Alsa</w:t>
      </w:r>
      <w:proofErr w:type="spellEnd"/>
      <w:r>
        <w:t xml:space="preserve">, Bosch, </w:t>
      </w:r>
      <w:proofErr w:type="spellStart"/>
      <w:r>
        <w:t>Navantia</w:t>
      </w:r>
      <w:proofErr w:type="spellEnd"/>
      <w:r>
        <w:t xml:space="preserve"> y Talgo.</w:t>
      </w:r>
    </w:p>
    <w:p w:rsidR="003718E2" w:rsidRDefault="003718E2" w:rsidP="003718E2">
      <w:r>
        <w:t>"En el año 2021 decíamos que queríamos tener 1,2 gigavatios (GW) en 2030. Si miramos las resoluciones del PERTE EHRA, hoy las empresas que construyen SHYNE tienen proyectos que suponen 1,4 GW y aproximadamente el 46% de las subvenciones", aseguró Tomás Malango, presidente de SHYNE y director de Combustibles Renovables y Economía Circular de Repsol. Repsol Malango destacó el reto de establecer un entorno de certidumbre regulatoria. "Nos encontramos en un momento marcado por una incertidumbre tecnológica, así como incertidumbre sobre la demanda final y la voluntad de pago adicional que tienen los consumidores", alertó</w:t>
      </w:r>
    </w:p>
    <w:p w:rsidR="003718E2" w:rsidRDefault="003718E2" w:rsidP="003718E2">
      <w:r>
        <w:t>El presidente de SHYNE puso un ejemplo concreto de esta incertidumbre, relacionado con el factor temporal. "El problema es que la demanda de hidrógeno necesita ajustarse a la disponibilidad de energías renovables, y la construcción de proyectos de hidrógeno se está planificando actualmente en un plazo mensual. Sin embargo, para 2030, ese plazo cambiará a uno horario", advirtió.</w:t>
      </w:r>
    </w:p>
    <w:p w:rsidR="003718E2" w:rsidRDefault="003718E2" w:rsidP="003718E2">
      <w:r>
        <w:t>Según Malango, este cambio "implicaría un aumento de aproximadamente 1,5 euros/kg de hidrógeno en los costes de producción, lo que afectaría la competitividad". Por este motivo, reclamó "alargar la correlación temporal durante un periodo razonable, unos 10 años, para que todos los proyectos puedan tomar la decisión final de inversión (FID) en un marco regulatorio estable".</w:t>
      </w:r>
    </w:p>
    <w:p w:rsidR="003718E2" w:rsidRDefault="003718E2" w:rsidP="003718E2">
      <w:r>
        <w:t xml:space="preserve">El acto de presentación de SHYNE contó con la participación de Joan </w:t>
      </w:r>
      <w:proofErr w:type="spellStart"/>
      <w:r>
        <w:t>Groizard</w:t>
      </w:r>
      <w:proofErr w:type="spellEnd"/>
      <w:r>
        <w:t xml:space="preserve">, secretario de Estado de Energía. Para </w:t>
      </w:r>
      <w:proofErr w:type="spellStart"/>
      <w:r>
        <w:t>Groizard</w:t>
      </w:r>
      <w:proofErr w:type="spellEnd"/>
      <w:r>
        <w:t>, "si queremos hacer real esa transformación, hay que tener un impulso continuo y constante desde la administración pública, para que siga haciendo de incentivo y de palanca de inversión privada, especialmente con una perspectiva de autonomía estratégica"</w:t>
      </w:r>
    </w:p>
    <w:p w:rsidR="00191B73" w:rsidRDefault="003718E2" w:rsidP="003718E2">
      <w:r>
        <w:t xml:space="preserve">Por eso en la última convocatoria de ayudas para valles de Hidrógeno, dotada con 1.200 millones, "el 91% de los proyectos seleccionados confían en </w:t>
      </w:r>
      <w:proofErr w:type="spellStart"/>
      <w:r>
        <w:t>stacks</w:t>
      </w:r>
      <w:proofErr w:type="spellEnd"/>
      <w:r>
        <w:t xml:space="preserve">, membranas, electrodos y </w:t>
      </w:r>
      <w:r>
        <w:lastRenderedPageBreak/>
        <w:t>ensamblaje de componentes europeos, en respuesta a uno de los parámetros que indicábamos en la convocatoria: la promoción de resiliencia industrial", destacó.</w:t>
      </w:r>
    </w:p>
    <w:sectPr w:rsidR="00191B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E2"/>
    <w:rsid w:val="00191B73"/>
    <w:rsid w:val="001A7FC1"/>
    <w:rsid w:val="002F663B"/>
    <w:rsid w:val="00371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F3EB"/>
  <w15:chartTrackingRefBased/>
  <w15:docId w15:val="{88BF76A4-D7ED-4137-9DFB-084A4791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18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718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718E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718E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718E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718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8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8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8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8E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718E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718E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718E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718E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718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8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8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8E2"/>
    <w:rPr>
      <w:rFonts w:eastAsiaTheme="majorEastAsia" w:cstheme="majorBidi"/>
      <w:color w:val="272727" w:themeColor="text1" w:themeTint="D8"/>
    </w:rPr>
  </w:style>
  <w:style w:type="paragraph" w:styleId="Ttulo">
    <w:name w:val="Title"/>
    <w:basedOn w:val="Normal"/>
    <w:next w:val="Normal"/>
    <w:link w:val="TtuloCar"/>
    <w:uiPriority w:val="10"/>
    <w:qFormat/>
    <w:rsid w:val="00371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8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8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8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8E2"/>
    <w:pPr>
      <w:spacing w:before="160"/>
      <w:jc w:val="center"/>
    </w:pPr>
    <w:rPr>
      <w:i/>
      <w:iCs/>
      <w:color w:val="404040" w:themeColor="text1" w:themeTint="BF"/>
    </w:rPr>
  </w:style>
  <w:style w:type="character" w:customStyle="1" w:styleId="CitaCar">
    <w:name w:val="Cita Car"/>
    <w:basedOn w:val="Fuentedeprrafopredeter"/>
    <w:link w:val="Cita"/>
    <w:uiPriority w:val="29"/>
    <w:rsid w:val="003718E2"/>
    <w:rPr>
      <w:i/>
      <w:iCs/>
      <w:color w:val="404040" w:themeColor="text1" w:themeTint="BF"/>
    </w:rPr>
  </w:style>
  <w:style w:type="paragraph" w:styleId="Prrafodelista">
    <w:name w:val="List Paragraph"/>
    <w:basedOn w:val="Normal"/>
    <w:uiPriority w:val="34"/>
    <w:qFormat/>
    <w:rsid w:val="003718E2"/>
    <w:pPr>
      <w:ind w:left="720"/>
      <w:contextualSpacing/>
    </w:pPr>
  </w:style>
  <w:style w:type="character" w:styleId="nfasisintenso">
    <w:name w:val="Intense Emphasis"/>
    <w:basedOn w:val="Fuentedeprrafopredeter"/>
    <w:uiPriority w:val="21"/>
    <w:qFormat/>
    <w:rsid w:val="003718E2"/>
    <w:rPr>
      <w:i/>
      <w:iCs/>
      <w:color w:val="2F5496" w:themeColor="accent1" w:themeShade="BF"/>
    </w:rPr>
  </w:style>
  <w:style w:type="paragraph" w:styleId="Citadestacada">
    <w:name w:val="Intense Quote"/>
    <w:basedOn w:val="Normal"/>
    <w:next w:val="Normal"/>
    <w:link w:val="CitadestacadaCar"/>
    <w:uiPriority w:val="30"/>
    <w:qFormat/>
    <w:rsid w:val="00371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718E2"/>
    <w:rPr>
      <w:i/>
      <w:iCs/>
      <w:color w:val="2F5496" w:themeColor="accent1" w:themeShade="BF"/>
    </w:rPr>
  </w:style>
  <w:style w:type="character" w:styleId="Referenciaintensa">
    <w:name w:val="Intense Reference"/>
    <w:basedOn w:val="Fuentedeprrafopredeter"/>
    <w:uiPriority w:val="32"/>
    <w:qFormat/>
    <w:rsid w:val="003718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390">
      <w:bodyDiv w:val="1"/>
      <w:marLeft w:val="0"/>
      <w:marRight w:val="0"/>
      <w:marTop w:val="0"/>
      <w:marBottom w:val="0"/>
      <w:divBdr>
        <w:top w:val="none" w:sz="0" w:space="0" w:color="auto"/>
        <w:left w:val="none" w:sz="0" w:space="0" w:color="auto"/>
        <w:bottom w:val="none" w:sz="0" w:space="0" w:color="auto"/>
        <w:right w:val="none" w:sz="0" w:space="0" w:color="auto"/>
      </w:divBdr>
    </w:div>
    <w:div w:id="21355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5627</Characters>
  <Application>Microsoft Office Word</Application>
  <DocSecurity>0</DocSecurity>
  <Lines>46</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2025-02-27T07:24:00Z</dcterms:created>
  <dcterms:modified xsi:type="dcterms:W3CDTF">2025-02-27T07:24:00Z</dcterms:modified>
</cp:coreProperties>
</file>